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42ADC" w:rsidRPr="0002251B" w:rsidRDefault="00342AD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04" w:type="dxa"/>
        <w:jc w:val="center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80"/>
        <w:gridCol w:w="7024"/>
      </w:tblGrid>
      <w:tr w:rsidR="0002251B" w:rsidRPr="0002251B" w:rsidTr="00342ADC">
        <w:trPr>
          <w:trHeight w:val="644"/>
          <w:jc w:val="center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42A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42ADC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42A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42ADC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02251B" w:rsidTr="00342ADC">
        <w:trPr>
          <w:trHeight w:val="532"/>
          <w:jc w:val="center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42A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42AD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42A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42AD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02251B" w:rsidTr="00342ADC">
        <w:trPr>
          <w:trHeight w:val="532"/>
          <w:jc w:val="center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42A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42AD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42ADC" w:rsidRDefault="00D76ECA" w:rsidP="00422AA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VY_32_INOVACE_0309 Leasing - zaúčtování</w:t>
            </w:r>
          </w:p>
        </w:tc>
      </w:tr>
      <w:tr w:rsidR="0002251B" w:rsidRPr="0002251B" w:rsidTr="00342ADC">
        <w:trPr>
          <w:trHeight w:val="532"/>
          <w:jc w:val="center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42A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42AD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42ADC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42ADC">
              <w:rPr>
                <w:rFonts w:eastAsia="Times New Roman" w:cs="Arial"/>
                <w:sz w:val="24"/>
                <w:szCs w:val="24"/>
                <w:lang w:eastAsia="cs-CZ"/>
              </w:rPr>
              <w:t>Účetnictví</w:t>
            </w:r>
            <w:r w:rsidR="00D76ECA">
              <w:rPr>
                <w:rFonts w:eastAsia="Times New Roman" w:cs="Arial"/>
                <w:sz w:val="24"/>
                <w:szCs w:val="24"/>
                <w:lang w:eastAsia="cs-CZ"/>
              </w:rPr>
              <w:t xml:space="preserve"> III</w:t>
            </w:r>
            <w:r w:rsidRPr="00342ADC">
              <w:rPr>
                <w:rFonts w:eastAsia="Times New Roman" w:cs="Arial"/>
                <w:sz w:val="24"/>
                <w:szCs w:val="24"/>
                <w:lang w:eastAsia="cs-CZ"/>
              </w:rPr>
              <w:t xml:space="preserve"> </w:t>
            </w:r>
          </w:p>
        </w:tc>
      </w:tr>
      <w:tr w:rsidR="0002251B" w:rsidRPr="0002251B" w:rsidTr="00342ADC">
        <w:trPr>
          <w:trHeight w:val="532"/>
          <w:jc w:val="center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42A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42AD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42ADC" w:rsidRDefault="00422AA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42ADC">
              <w:rPr>
                <w:rFonts w:eastAsia="Times New Roman" w:cs="Arial"/>
                <w:sz w:val="24"/>
                <w:szCs w:val="24"/>
                <w:lang w:eastAsia="cs-CZ"/>
              </w:rPr>
              <w:t>2</w:t>
            </w:r>
            <w:r w:rsidR="0002251B" w:rsidRPr="00342ADC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D76ECA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02251B" w:rsidTr="00342ADC">
        <w:trPr>
          <w:trHeight w:val="532"/>
          <w:jc w:val="center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42A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42AD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42A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42ADC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02251B" w:rsidTr="00342ADC">
        <w:trPr>
          <w:trHeight w:val="532"/>
          <w:jc w:val="center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42A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42AD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42ADC" w:rsidRDefault="00D76ECA" w:rsidP="005A2D4C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4.9.</w:t>
            </w:r>
            <w:r w:rsidR="0002251B" w:rsidRPr="00342ADC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2251B" w:rsidRPr="0002251B" w:rsidTr="00342ADC">
        <w:trPr>
          <w:trHeight w:val="532"/>
          <w:jc w:val="center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42A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42AD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42ADC" w:rsidRDefault="008929A1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42ADC">
              <w:rPr>
                <w:rFonts w:eastAsia="Times New Roman" w:cs="Arial"/>
                <w:sz w:val="24"/>
                <w:szCs w:val="24"/>
                <w:lang w:eastAsia="cs-CZ"/>
              </w:rPr>
              <w:t>Leasing - zaúčtování</w:t>
            </w:r>
          </w:p>
        </w:tc>
      </w:tr>
      <w:tr w:rsidR="0002251B" w:rsidRPr="0002251B" w:rsidTr="00342ADC">
        <w:trPr>
          <w:trHeight w:val="532"/>
          <w:jc w:val="center"/>
        </w:trPr>
        <w:tc>
          <w:tcPr>
            <w:tcW w:w="218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42ADC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42ADC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2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42ADC" w:rsidRDefault="008929A1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342ADC">
              <w:rPr>
                <w:rFonts w:eastAsia="Times New Roman" w:cs="Arial"/>
                <w:sz w:val="24"/>
                <w:szCs w:val="24"/>
                <w:lang w:eastAsia="cs-CZ"/>
              </w:rPr>
              <w:t>Ř</w:t>
            </w:r>
            <w:r w:rsidR="0002251B" w:rsidRPr="00342ADC">
              <w:rPr>
                <w:rFonts w:eastAsia="Times New Roman" w:cs="Arial"/>
                <w:sz w:val="24"/>
                <w:szCs w:val="24"/>
                <w:lang w:eastAsia="cs-CZ"/>
              </w:rPr>
              <w:t>ešení úloh</w:t>
            </w:r>
          </w:p>
        </w:tc>
      </w:tr>
      <w:tr w:rsidR="0002251B" w:rsidRPr="0002251B" w:rsidTr="00342ADC">
        <w:trPr>
          <w:trHeight w:val="532"/>
          <w:jc w:val="center"/>
        </w:trPr>
        <w:tc>
          <w:tcPr>
            <w:tcW w:w="9204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342ADC" w:rsidRDefault="00EC3D5C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929A1" w:rsidRDefault="008929A1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929A1" w:rsidRDefault="008929A1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929A1" w:rsidRDefault="008929A1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929A1" w:rsidRDefault="008929A1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929A1" w:rsidRDefault="008929A1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929A1" w:rsidRDefault="008929A1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929A1" w:rsidRDefault="008929A1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9A1" w:rsidRDefault="008929A1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929A1" w:rsidRDefault="008929A1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929A1" w:rsidRDefault="008929A1" w:rsidP="008929A1">
      <w:pPr>
        <w:spacing w:after="0" w:line="360" w:lineRule="auto"/>
        <w:rPr>
          <w:rFonts w:ascii="Arial" w:eastAsia="Calibri" w:hAnsi="Arial" w:cs="Arial"/>
          <w:b/>
          <w:color w:val="FF7C80"/>
          <w:sz w:val="28"/>
          <w:szCs w:val="28"/>
        </w:rPr>
      </w:pPr>
      <w:r>
        <w:rPr>
          <w:rFonts w:ascii="Arial" w:eastAsia="Calibri" w:hAnsi="Arial" w:cs="Arial"/>
          <w:b/>
          <w:color w:val="FF7C80"/>
          <w:sz w:val="28"/>
          <w:szCs w:val="28"/>
        </w:rPr>
        <w:t>Příklad k zaúčtování</w:t>
      </w:r>
    </w:p>
    <w:p w:rsidR="008929A1" w:rsidRDefault="008929A1" w:rsidP="008929A1">
      <w:pPr>
        <w:spacing w:after="0" w:line="360" w:lineRule="auto"/>
        <w:rPr>
          <w:rFonts w:ascii="Arial" w:eastAsia="Calibri" w:hAnsi="Arial" w:cs="Arial"/>
          <w:b/>
          <w:color w:val="FF7C80"/>
          <w:sz w:val="28"/>
          <w:szCs w:val="28"/>
        </w:rPr>
      </w:pPr>
    </w:p>
    <w:p w:rsidR="008929A1" w:rsidRDefault="008929A1" w:rsidP="008929A1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 w:rsidRPr="008929A1">
        <w:rPr>
          <w:rFonts w:ascii="Arial" w:eastAsia="Calibri" w:hAnsi="Arial" w:cs="Arial"/>
          <w:color w:val="0070C0"/>
          <w:sz w:val="24"/>
          <w:szCs w:val="24"/>
        </w:rPr>
        <w:t>Nákup osobního auta</w:t>
      </w:r>
    </w:p>
    <w:p w:rsidR="008929A1" w:rsidRDefault="008929A1" w:rsidP="008929A1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>
        <w:rPr>
          <w:rFonts w:ascii="Arial" w:eastAsia="Calibri" w:hAnsi="Arial" w:cs="Arial"/>
          <w:color w:val="0070C0"/>
          <w:sz w:val="24"/>
          <w:szCs w:val="24"/>
        </w:rPr>
        <w:t>První splátka</w:t>
      </w:r>
      <w:r>
        <w:rPr>
          <w:rFonts w:ascii="Arial" w:eastAsia="Calibri" w:hAnsi="Arial" w:cs="Arial"/>
          <w:color w:val="0070C0"/>
          <w:sz w:val="24"/>
          <w:szCs w:val="24"/>
        </w:rPr>
        <w:tab/>
      </w:r>
      <w:r>
        <w:rPr>
          <w:rFonts w:ascii="Arial" w:eastAsia="Calibri" w:hAnsi="Arial" w:cs="Arial"/>
          <w:color w:val="0070C0"/>
          <w:sz w:val="24"/>
          <w:szCs w:val="24"/>
        </w:rPr>
        <w:tab/>
        <w:t>252.000,-</w:t>
      </w:r>
    </w:p>
    <w:p w:rsidR="008929A1" w:rsidRDefault="008929A1" w:rsidP="008929A1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>
        <w:rPr>
          <w:rFonts w:ascii="Arial" w:eastAsia="Calibri" w:hAnsi="Arial" w:cs="Arial"/>
          <w:color w:val="0070C0"/>
          <w:sz w:val="24"/>
          <w:szCs w:val="24"/>
        </w:rPr>
        <w:t>Trvání leasingu</w:t>
      </w:r>
      <w:r>
        <w:rPr>
          <w:rFonts w:ascii="Arial" w:eastAsia="Calibri" w:hAnsi="Arial" w:cs="Arial"/>
          <w:color w:val="0070C0"/>
          <w:sz w:val="24"/>
          <w:szCs w:val="24"/>
        </w:rPr>
        <w:tab/>
        <w:t>12/2013 – 11/ 2016</w:t>
      </w:r>
    </w:p>
    <w:p w:rsidR="00C600DF" w:rsidRDefault="008929A1" w:rsidP="008929A1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>
        <w:rPr>
          <w:rFonts w:ascii="Arial" w:eastAsia="Calibri" w:hAnsi="Arial" w:cs="Arial"/>
          <w:color w:val="0070C0"/>
          <w:sz w:val="24"/>
          <w:szCs w:val="24"/>
        </w:rPr>
        <w:t>Počet splátek</w:t>
      </w:r>
      <w:r>
        <w:rPr>
          <w:rFonts w:ascii="Arial" w:eastAsia="Calibri" w:hAnsi="Arial" w:cs="Arial"/>
          <w:color w:val="0070C0"/>
          <w:sz w:val="24"/>
          <w:szCs w:val="24"/>
        </w:rPr>
        <w:tab/>
      </w:r>
      <w:r w:rsidR="00C600DF">
        <w:rPr>
          <w:rFonts w:ascii="Arial" w:eastAsia="Calibri" w:hAnsi="Arial" w:cs="Arial"/>
          <w:color w:val="0070C0"/>
          <w:sz w:val="24"/>
          <w:szCs w:val="24"/>
        </w:rPr>
        <w:t>36 měsíců</w:t>
      </w:r>
    </w:p>
    <w:p w:rsidR="00C600DF" w:rsidRDefault="00C600DF" w:rsidP="008929A1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>
        <w:rPr>
          <w:rFonts w:ascii="Arial" w:eastAsia="Calibri" w:hAnsi="Arial" w:cs="Arial"/>
          <w:color w:val="0070C0"/>
          <w:sz w:val="24"/>
          <w:szCs w:val="24"/>
        </w:rPr>
        <w:t>Měsíční splátka</w:t>
      </w:r>
      <w:r>
        <w:rPr>
          <w:rFonts w:ascii="Arial" w:eastAsia="Calibri" w:hAnsi="Arial" w:cs="Arial"/>
          <w:color w:val="0070C0"/>
          <w:sz w:val="24"/>
          <w:szCs w:val="24"/>
        </w:rPr>
        <w:tab/>
        <w:t>12.000,-</w:t>
      </w:r>
    </w:p>
    <w:p w:rsidR="00C600DF" w:rsidRDefault="00C600DF" w:rsidP="008929A1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>
        <w:rPr>
          <w:rFonts w:ascii="Arial" w:eastAsia="Calibri" w:hAnsi="Arial" w:cs="Arial"/>
          <w:color w:val="0070C0"/>
          <w:sz w:val="24"/>
          <w:szCs w:val="24"/>
        </w:rPr>
        <w:t>Cena OA</w:t>
      </w:r>
      <w:r>
        <w:rPr>
          <w:rFonts w:ascii="Arial" w:eastAsia="Calibri" w:hAnsi="Arial" w:cs="Arial"/>
          <w:color w:val="0070C0"/>
          <w:sz w:val="24"/>
          <w:szCs w:val="24"/>
        </w:rPr>
        <w:tab/>
      </w:r>
      <w:r>
        <w:rPr>
          <w:rFonts w:ascii="Arial" w:eastAsia="Calibri" w:hAnsi="Arial" w:cs="Arial"/>
          <w:color w:val="0070C0"/>
          <w:sz w:val="24"/>
          <w:szCs w:val="24"/>
        </w:rPr>
        <w:tab/>
        <w:t>684.000,-</w:t>
      </w:r>
    </w:p>
    <w:p w:rsidR="00C600DF" w:rsidRDefault="00C600DF" w:rsidP="008929A1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>
        <w:rPr>
          <w:rFonts w:ascii="Arial" w:eastAsia="Calibri" w:hAnsi="Arial" w:cs="Arial"/>
          <w:color w:val="0070C0"/>
          <w:sz w:val="24"/>
          <w:szCs w:val="24"/>
        </w:rPr>
        <w:t>Zůstatková cena</w:t>
      </w:r>
      <w:r>
        <w:rPr>
          <w:rFonts w:ascii="Arial" w:eastAsia="Calibri" w:hAnsi="Arial" w:cs="Arial"/>
          <w:color w:val="0070C0"/>
          <w:sz w:val="24"/>
          <w:szCs w:val="24"/>
        </w:rPr>
        <w:tab/>
        <w:t xml:space="preserve">    1.000,-</w:t>
      </w:r>
    </w:p>
    <w:p w:rsidR="00C600DF" w:rsidRDefault="00C600DF" w:rsidP="008929A1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>
        <w:rPr>
          <w:rFonts w:ascii="Arial" w:eastAsia="Calibri" w:hAnsi="Arial" w:cs="Arial"/>
          <w:color w:val="0070C0"/>
          <w:sz w:val="24"/>
          <w:szCs w:val="24"/>
        </w:rPr>
        <w:t>Účtujeme bez DPH</w:t>
      </w:r>
    </w:p>
    <w:p w:rsidR="008929A1" w:rsidRPr="008929A1" w:rsidRDefault="008929A1" w:rsidP="008929A1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>
        <w:rPr>
          <w:rFonts w:ascii="Arial" w:eastAsia="Calibri" w:hAnsi="Arial" w:cs="Arial"/>
          <w:color w:val="0070C0"/>
          <w:sz w:val="24"/>
          <w:szCs w:val="24"/>
        </w:rPr>
        <w:tab/>
      </w:r>
    </w:p>
    <w:p w:rsidR="008929A1" w:rsidRPr="008929A1" w:rsidRDefault="008929A1" w:rsidP="008929A1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 w:rsidRPr="008929A1">
        <w:rPr>
          <w:rFonts w:ascii="Arial" w:eastAsia="Calibri" w:hAnsi="Arial" w:cs="Arial"/>
          <w:color w:val="0070C0"/>
          <w:sz w:val="24"/>
          <w:szCs w:val="24"/>
        </w:rPr>
        <w:t xml:space="preserve">0. Zařazení do podrozvahové evidence    </w:t>
      </w:r>
      <w:r w:rsidR="00C600DF">
        <w:rPr>
          <w:rFonts w:ascii="Arial" w:eastAsia="Calibri" w:hAnsi="Arial" w:cs="Arial"/>
          <w:color w:val="0070C0"/>
          <w:sz w:val="24"/>
          <w:szCs w:val="24"/>
        </w:rPr>
        <w:tab/>
      </w:r>
      <w:r w:rsidR="00C600DF">
        <w:rPr>
          <w:rFonts w:ascii="Arial" w:eastAsia="Calibri" w:hAnsi="Arial" w:cs="Arial"/>
          <w:color w:val="0070C0"/>
          <w:sz w:val="24"/>
          <w:szCs w:val="24"/>
        </w:rPr>
        <w:tab/>
        <w:t>684.000,-</w:t>
      </w:r>
      <w:r w:rsidRPr="008929A1">
        <w:rPr>
          <w:rFonts w:ascii="Arial" w:eastAsia="Calibri" w:hAnsi="Arial" w:cs="Arial"/>
          <w:color w:val="0070C0"/>
          <w:sz w:val="24"/>
          <w:szCs w:val="24"/>
        </w:rPr>
        <w:tab/>
      </w:r>
      <w:r w:rsidRPr="008929A1">
        <w:rPr>
          <w:rFonts w:ascii="Arial" w:eastAsia="Calibri" w:hAnsi="Arial" w:cs="Arial"/>
          <w:color w:val="0070C0"/>
          <w:sz w:val="24"/>
          <w:szCs w:val="24"/>
        </w:rPr>
        <w:tab/>
        <w:t xml:space="preserve">750/---       </w:t>
      </w:r>
    </w:p>
    <w:p w:rsidR="00C600DF" w:rsidRDefault="008929A1" w:rsidP="008929A1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 w:rsidRPr="008929A1">
        <w:rPr>
          <w:rFonts w:ascii="Arial" w:eastAsia="Calibri" w:hAnsi="Arial" w:cs="Arial"/>
          <w:color w:val="0070C0"/>
          <w:sz w:val="24"/>
          <w:szCs w:val="24"/>
        </w:rPr>
        <w:t xml:space="preserve">1. Předpis první zvýšené splátky     </w:t>
      </w:r>
      <w:r w:rsidRPr="008929A1">
        <w:rPr>
          <w:rFonts w:ascii="Arial" w:eastAsia="Calibri" w:hAnsi="Arial" w:cs="Arial"/>
          <w:color w:val="0070C0"/>
          <w:sz w:val="24"/>
          <w:szCs w:val="24"/>
        </w:rPr>
        <w:tab/>
      </w:r>
      <w:r w:rsidR="00C600DF">
        <w:rPr>
          <w:rFonts w:ascii="Arial" w:eastAsia="Calibri" w:hAnsi="Arial" w:cs="Arial"/>
          <w:color w:val="0070C0"/>
          <w:sz w:val="24"/>
          <w:szCs w:val="24"/>
        </w:rPr>
        <w:tab/>
      </w:r>
      <w:r w:rsidR="00C600DF">
        <w:rPr>
          <w:rFonts w:ascii="Arial" w:eastAsia="Calibri" w:hAnsi="Arial" w:cs="Arial"/>
          <w:color w:val="0070C0"/>
          <w:sz w:val="24"/>
          <w:szCs w:val="24"/>
        </w:rPr>
        <w:tab/>
        <w:t>252.000,-</w:t>
      </w:r>
      <w:r w:rsidR="00C600DF">
        <w:rPr>
          <w:rFonts w:ascii="Arial" w:eastAsia="Calibri" w:hAnsi="Arial" w:cs="Arial"/>
          <w:color w:val="0070C0"/>
          <w:sz w:val="24"/>
          <w:szCs w:val="24"/>
        </w:rPr>
        <w:tab/>
      </w:r>
      <w:r w:rsidR="00C600DF">
        <w:rPr>
          <w:rFonts w:ascii="Arial" w:eastAsia="Calibri" w:hAnsi="Arial" w:cs="Arial"/>
          <w:color w:val="0070C0"/>
          <w:sz w:val="24"/>
          <w:szCs w:val="24"/>
        </w:rPr>
        <w:tab/>
        <w:t xml:space="preserve">381/379  </w:t>
      </w:r>
    </w:p>
    <w:p w:rsidR="008929A1" w:rsidRPr="008929A1" w:rsidRDefault="008929A1" w:rsidP="008929A1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 w:rsidRPr="008929A1">
        <w:rPr>
          <w:rFonts w:ascii="Arial" w:eastAsia="Calibri" w:hAnsi="Arial" w:cs="Arial"/>
          <w:color w:val="0070C0"/>
          <w:sz w:val="24"/>
          <w:szCs w:val="24"/>
        </w:rPr>
        <w:t>2. Úhrada první zvýšené splátky hotově</w:t>
      </w:r>
      <w:r w:rsidRPr="008929A1">
        <w:rPr>
          <w:rFonts w:ascii="Arial" w:eastAsia="Calibri" w:hAnsi="Arial" w:cs="Arial"/>
          <w:color w:val="0070C0"/>
          <w:sz w:val="24"/>
          <w:szCs w:val="24"/>
        </w:rPr>
        <w:tab/>
      </w:r>
      <w:r w:rsidRPr="008929A1">
        <w:rPr>
          <w:rFonts w:ascii="Arial" w:eastAsia="Calibri" w:hAnsi="Arial" w:cs="Arial"/>
          <w:color w:val="0070C0"/>
          <w:sz w:val="24"/>
          <w:szCs w:val="24"/>
        </w:rPr>
        <w:tab/>
      </w:r>
      <w:r w:rsidR="00C600DF">
        <w:rPr>
          <w:rFonts w:ascii="Arial" w:eastAsia="Calibri" w:hAnsi="Arial" w:cs="Arial"/>
          <w:color w:val="0070C0"/>
          <w:sz w:val="24"/>
          <w:szCs w:val="24"/>
        </w:rPr>
        <w:tab/>
        <w:t>252.000,-</w:t>
      </w:r>
      <w:r w:rsidR="00C600DF">
        <w:rPr>
          <w:rFonts w:ascii="Arial" w:eastAsia="Calibri" w:hAnsi="Arial" w:cs="Arial"/>
          <w:color w:val="0070C0"/>
          <w:sz w:val="24"/>
          <w:szCs w:val="24"/>
        </w:rPr>
        <w:tab/>
      </w:r>
      <w:r w:rsidRPr="008929A1">
        <w:rPr>
          <w:rFonts w:ascii="Arial" w:eastAsia="Calibri" w:hAnsi="Arial" w:cs="Arial"/>
          <w:color w:val="0070C0"/>
          <w:sz w:val="24"/>
          <w:szCs w:val="24"/>
        </w:rPr>
        <w:tab/>
        <w:t>379/211</w:t>
      </w:r>
    </w:p>
    <w:p w:rsidR="008929A1" w:rsidRPr="008929A1" w:rsidRDefault="008929A1" w:rsidP="008929A1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 w:rsidRPr="008929A1">
        <w:rPr>
          <w:rFonts w:ascii="Arial" w:eastAsia="Calibri" w:hAnsi="Arial" w:cs="Arial"/>
          <w:color w:val="0070C0"/>
          <w:sz w:val="24"/>
          <w:szCs w:val="24"/>
        </w:rPr>
        <w:t xml:space="preserve">3. Předpis běžných splátek </w:t>
      </w:r>
      <w:r w:rsidRPr="008929A1">
        <w:rPr>
          <w:rFonts w:ascii="Arial" w:eastAsia="Calibri" w:hAnsi="Arial" w:cs="Arial"/>
          <w:color w:val="0070C0"/>
          <w:sz w:val="24"/>
          <w:szCs w:val="24"/>
        </w:rPr>
        <w:tab/>
      </w:r>
      <w:r w:rsidRPr="008929A1">
        <w:rPr>
          <w:rFonts w:ascii="Arial" w:eastAsia="Calibri" w:hAnsi="Arial" w:cs="Arial"/>
          <w:color w:val="0070C0"/>
          <w:sz w:val="24"/>
          <w:szCs w:val="24"/>
        </w:rPr>
        <w:tab/>
      </w:r>
      <w:r w:rsidRPr="008929A1">
        <w:rPr>
          <w:rFonts w:ascii="Arial" w:eastAsia="Calibri" w:hAnsi="Arial" w:cs="Arial"/>
          <w:color w:val="0070C0"/>
          <w:sz w:val="24"/>
          <w:szCs w:val="24"/>
        </w:rPr>
        <w:tab/>
      </w:r>
      <w:r w:rsidR="00C600DF">
        <w:rPr>
          <w:rFonts w:ascii="Arial" w:eastAsia="Calibri" w:hAnsi="Arial" w:cs="Arial"/>
          <w:color w:val="0070C0"/>
          <w:sz w:val="24"/>
          <w:szCs w:val="24"/>
        </w:rPr>
        <w:tab/>
        <w:t xml:space="preserve">  12.000,-</w:t>
      </w:r>
      <w:r w:rsidR="00C600DF">
        <w:rPr>
          <w:rFonts w:ascii="Arial" w:eastAsia="Calibri" w:hAnsi="Arial" w:cs="Arial"/>
          <w:color w:val="0070C0"/>
          <w:sz w:val="24"/>
          <w:szCs w:val="24"/>
        </w:rPr>
        <w:tab/>
      </w:r>
      <w:r w:rsidRPr="008929A1">
        <w:rPr>
          <w:rFonts w:ascii="Arial" w:eastAsia="Calibri" w:hAnsi="Arial" w:cs="Arial"/>
          <w:color w:val="0070C0"/>
          <w:sz w:val="24"/>
          <w:szCs w:val="24"/>
        </w:rPr>
        <w:tab/>
        <w:t>518/379</w:t>
      </w:r>
    </w:p>
    <w:p w:rsidR="008929A1" w:rsidRPr="008929A1" w:rsidRDefault="008929A1" w:rsidP="008929A1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 w:rsidRPr="008929A1">
        <w:rPr>
          <w:rFonts w:ascii="Arial" w:eastAsia="Calibri" w:hAnsi="Arial" w:cs="Arial"/>
          <w:color w:val="0070C0"/>
          <w:sz w:val="24"/>
          <w:szCs w:val="24"/>
        </w:rPr>
        <w:t xml:space="preserve">4. Úhrada běžných splátek převodem </w:t>
      </w:r>
      <w:r w:rsidRPr="008929A1">
        <w:rPr>
          <w:rFonts w:ascii="Arial" w:eastAsia="Calibri" w:hAnsi="Arial" w:cs="Arial"/>
          <w:color w:val="0070C0"/>
          <w:sz w:val="24"/>
          <w:szCs w:val="24"/>
        </w:rPr>
        <w:tab/>
      </w:r>
      <w:r w:rsidRPr="008929A1">
        <w:rPr>
          <w:rFonts w:ascii="Arial" w:eastAsia="Calibri" w:hAnsi="Arial" w:cs="Arial"/>
          <w:color w:val="0070C0"/>
          <w:sz w:val="24"/>
          <w:szCs w:val="24"/>
        </w:rPr>
        <w:tab/>
      </w:r>
      <w:r w:rsidR="00C600DF">
        <w:rPr>
          <w:rFonts w:ascii="Arial" w:eastAsia="Calibri" w:hAnsi="Arial" w:cs="Arial"/>
          <w:color w:val="0070C0"/>
          <w:sz w:val="24"/>
          <w:szCs w:val="24"/>
        </w:rPr>
        <w:tab/>
        <w:t xml:space="preserve">  12.000,-</w:t>
      </w:r>
      <w:r w:rsidR="00C600DF">
        <w:rPr>
          <w:rFonts w:ascii="Arial" w:eastAsia="Calibri" w:hAnsi="Arial" w:cs="Arial"/>
          <w:color w:val="0070C0"/>
          <w:sz w:val="24"/>
          <w:szCs w:val="24"/>
        </w:rPr>
        <w:tab/>
      </w:r>
      <w:r w:rsidRPr="008929A1">
        <w:rPr>
          <w:rFonts w:ascii="Arial" w:eastAsia="Calibri" w:hAnsi="Arial" w:cs="Arial"/>
          <w:color w:val="0070C0"/>
          <w:sz w:val="24"/>
          <w:szCs w:val="24"/>
        </w:rPr>
        <w:tab/>
        <w:t>379/221</w:t>
      </w:r>
    </w:p>
    <w:p w:rsidR="008929A1" w:rsidRPr="008929A1" w:rsidRDefault="008929A1" w:rsidP="008929A1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 w:rsidRPr="008929A1">
        <w:rPr>
          <w:rFonts w:ascii="Arial" w:eastAsia="Calibri" w:hAnsi="Arial" w:cs="Arial"/>
          <w:color w:val="0070C0"/>
          <w:sz w:val="24"/>
          <w:szCs w:val="24"/>
        </w:rPr>
        <w:t>5. Poměrná část první zvýšené splátky za r. 2013</w:t>
      </w:r>
      <w:r w:rsidRPr="008929A1">
        <w:rPr>
          <w:rFonts w:ascii="Arial" w:eastAsia="Calibri" w:hAnsi="Arial" w:cs="Arial"/>
          <w:color w:val="0070C0"/>
          <w:sz w:val="24"/>
          <w:szCs w:val="24"/>
        </w:rPr>
        <w:tab/>
      </w:r>
      <w:r w:rsidR="00C600DF">
        <w:rPr>
          <w:rFonts w:ascii="Arial" w:eastAsia="Calibri" w:hAnsi="Arial" w:cs="Arial"/>
          <w:color w:val="0070C0"/>
          <w:sz w:val="24"/>
          <w:szCs w:val="24"/>
        </w:rPr>
        <w:t xml:space="preserve">  84.000,-</w:t>
      </w:r>
      <w:r w:rsidR="00C600DF">
        <w:rPr>
          <w:rFonts w:ascii="Arial" w:eastAsia="Calibri" w:hAnsi="Arial" w:cs="Arial"/>
          <w:color w:val="0070C0"/>
          <w:sz w:val="24"/>
          <w:szCs w:val="24"/>
        </w:rPr>
        <w:tab/>
      </w:r>
      <w:r w:rsidR="00C600DF">
        <w:rPr>
          <w:rFonts w:ascii="Arial" w:eastAsia="Calibri" w:hAnsi="Arial" w:cs="Arial"/>
          <w:color w:val="0070C0"/>
          <w:sz w:val="24"/>
          <w:szCs w:val="24"/>
        </w:rPr>
        <w:tab/>
      </w:r>
      <w:r w:rsidRPr="008929A1">
        <w:rPr>
          <w:rFonts w:ascii="Arial" w:eastAsia="Calibri" w:hAnsi="Arial" w:cs="Arial"/>
          <w:color w:val="0070C0"/>
          <w:sz w:val="24"/>
          <w:szCs w:val="24"/>
        </w:rPr>
        <w:t>518/381</w:t>
      </w:r>
    </w:p>
    <w:p w:rsidR="008929A1" w:rsidRPr="008929A1" w:rsidRDefault="008929A1" w:rsidP="008929A1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 w:rsidRPr="008929A1">
        <w:rPr>
          <w:rFonts w:ascii="Arial" w:eastAsia="Calibri" w:hAnsi="Arial" w:cs="Arial"/>
          <w:color w:val="0070C0"/>
          <w:sz w:val="24"/>
          <w:szCs w:val="24"/>
        </w:rPr>
        <w:t>6. Poměrná část první zvýšené splátky za r. 2014</w:t>
      </w:r>
      <w:r w:rsidRPr="008929A1">
        <w:rPr>
          <w:rFonts w:ascii="Arial" w:eastAsia="Calibri" w:hAnsi="Arial" w:cs="Arial"/>
          <w:color w:val="0070C0"/>
          <w:sz w:val="24"/>
          <w:szCs w:val="24"/>
        </w:rPr>
        <w:tab/>
      </w:r>
      <w:r w:rsidR="00C600DF">
        <w:rPr>
          <w:rFonts w:ascii="Arial" w:eastAsia="Calibri" w:hAnsi="Arial" w:cs="Arial"/>
          <w:color w:val="0070C0"/>
          <w:sz w:val="24"/>
          <w:szCs w:val="24"/>
        </w:rPr>
        <w:t xml:space="preserve">  84.000,-</w:t>
      </w:r>
      <w:r w:rsidR="00C600DF">
        <w:rPr>
          <w:rFonts w:ascii="Arial" w:eastAsia="Calibri" w:hAnsi="Arial" w:cs="Arial"/>
          <w:color w:val="0070C0"/>
          <w:sz w:val="24"/>
          <w:szCs w:val="24"/>
        </w:rPr>
        <w:tab/>
      </w:r>
      <w:r w:rsidR="00C600DF">
        <w:rPr>
          <w:rFonts w:ascii="Arial" w:eastAsia="Calibri" w:hAnsi="Arial" w:cs="Arial"/>
          <w:color w:val="0070C0"/>
          <w:sz w:val="24"/>
          <w:szCs w:val="24"/>
        </w:rPr>
        <w:tab/>
      </w:r>
      <w:r w:rsidRPr="008929A1">
        <w:rPr>
          <w:rFonts w:ascii="Arial" w:eastAsia="Calibri" w:hAnsi="Arial" w:cs="Arial"/>
          <w:color w:val="0070C0"/>
          <w:sz w:val="24"/>
          <w:szCs w:val="24"/>
        </w:rPr>
        <w:t>518/381</w:t>
      </w:r>
    </w:p>
    <w:p w:rsidR="008929A1" w:rsidRPr="008929A1" w:rsidRDefault="008929A1" w:rsidP="008929A1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 w:rsidRPr="008929A1">
        <w:rPr>
          <w:rFonts w:ascii="Arial" w:eastAsia="Calibri" w:hAnsi="Arial" w:cs="Arial"/>
          <w:color w:val="0070C0"/>
          <w:sz w:val="24"/>
          <w:szCs w:val="24"/>
        </w:rPr>
        <w:t>7. Poměrná část první zvýšené splátky za r. 2015</w:t>
      </w:r>
      <w:r w:rsidRPr="008929A1">
        <w:rPr>
          <w:rFonts w:ascii="Arial" w:eastAsia="Calibri" w:hAnsi="Arial" w:cs="Arial"/>
          <w:color w:val="0070C0"/>
          <w:sz w:val="24"/>
          <w:szCs w:val="24"/>
        </w:rPr>
        <w:tab/>
      </w:r>
      <w:r w:rsidR="00C600DF">
        <w:rPr>
          <w:rFonts w:ascii="Arial" w:eastAsia="Calibri" w:hAnsi="Arial" w:cs="Arial"/>
          <w:color w:val="0070C0"/>
          <w:sz w:val="24"/>
          <w:szCs w:val="24"/>
        </w:rPr>
        <w:t xml:space="preserve">  84.000,-</w:t>
      </w:r>
      <w:r w:rsidR="00C600DF">
        <w:rPr>
          <w:rFonts w:ascii="Arial" w:eastAsia="Calibri" w:hAnsi="Arial" w:cs="Arial"/>
          <w:color w:val="0070C0"/>
          <w:sz w:val="24"/>
          <w:szCs w:val="24"/>
        </w:rPr>
        <w:tab/>
      </w:r>
      <w:r w:rsidR="00C600DF">
        <w:rPr>
          <w:rFonts w:ascii="Arial" w:eastAsia="Calibri" w:hAnsi="Arial" w:cs="Arial"/>
          <w:color w:val="0070C0"/>
          <w:sz w:val="24"/>
          <w:szCs w:val="24"/>
        </w:rPr>
        <w:tab/>
      </w:r>
      <w:r w:rsidRPr="008929A1">
        <w:rPr>
          <w:rFonts w:ascii="Arial" w:eastAsia="Calibri" w:hAnsi="Arial" w:cs="Arial"/>
          <w:color w:val="0070C0"/>
          <w:sz w:val="24"/>
          <w:szCs w:val="24"/>
        </w:rPr>
        <w:t>518/381</w:t>
      </w:r>
    </w:p>
    <w:p w:rsidR="008929A1" w:rsidRPr="008929A1" w:rsidRDefault="008929A1" w:rsidP="008929A1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 w:rsidRPr="008929A1">
        <w:rPr>
          <w:rFonts w:ascii="Arial" w:eastAsia="Calibri" w:hAnsi="Arial" w:cs="Arial"/>
          <w:color w:val="0070C0"/>
          <w:sz w:val="24"/>
          <w:szCs w:val="24"/>
        </w:rPr>
        <w:t>8. Poměrná část první zvýšené splátky za r. 2016</w:t>
      </w:r>
      <w:r w:rsidRPr="008929A1">
        <w:rPr>
          <w:rFonts w:ascii="Arial" w:eastAsia="Calibri" w:hAnsi="Arial" w:cs="Arial"/>
          <w:color w:val="0070C0"/>
          <w:sz w:val="24"/>
          <w:szCs w:val="24"/>
        </w:rPr>
        <w:tab/>
      </w:r>
      <w:r w:rsidR="00C600DF">
        <w:rPr>
          <w:rFonts w:ascii="Arial" w:eastAsia="Calibri" w:hAnsi="Arial" w:cs="Arial"/>
          <w:color w:val="0070C0"/>
          <w:sz w:val="24"/>
          <w:szCs w:val="24"/>
        </w:rPr>
        <w:t xml:space="preserve">  77.000,-</w:t>
      </w:r>
      <w:r w:rsidR="00C600DF">
        <w:rPr>
          <w:rFonts w:ascii="Arial" w:eastAsia="Calibri" w:hAnsi="Arial" w:cs="Arial"/>
          <w:color w:val="0070C0"/>
          <w:sz w:val="24"/>
          <w:szCs w:val="24"/>
        </w:rPr>
        <w:tab/>
      </w:r>
      <w:r w:rsidR="00C600DF">
        <w:rPr>
          <w:rFonts w:ascii="Arial" w:eastAsia="Calibri" w:hAnsi="Arial" w:cs="Arial"/>
          <w:color w:val="0070C0"/>
          <w:sz w:val="24"/>
          <w:szCs w:val="24"/>
        </w:rPr>
        <w:tab/>
      </w:r>
      <w:r w:rsidRPr="008929A1">
        <w:rPr>
          <w:rFonts w:ascii="Arial" w:eastAsia="Calibri" w:hAnsi="Arial" w:cs="Arial"/>
          <w:color w:val="0070C0"/>
          <w:sz w:val="24"/>
          <w:szCs w:val="24"/>
        </w:rPr>
        <w:t>518/381</w:t>
      </w:r>
    </w:p>
    <w:p w:rsidR="008929A1" w:rsidRPr="008929A1" w:rsidRDefault="008929A1" w:rsidP="008929A1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 w:rsidRPr="008929A1">
        <w:rPr>
          <w:rFonts w:ascii="Arial" w:eastAsia="Calibri" w:hAnsi="Arial" w:cs="Arial"/>
          <w:color w:val="0070C0"/>
          <w:sz w:val="24"/>
          <w:szCs w:val="24"/>
        </w:rPr>
        <w:t xml:space="preserve">9. FD za nákup OA v zůstatkové ceně </w:t>
      </w:r>
      <w:r w:rsidRPr="008929A1">
        <w:rPr>
          <w:rFonts w:ascii="Arial" w:eastAsia="Calibri" w:hAnsi="Arial" w:cs="Arial"/>
          <w:color w:val="0070C0"/>
          <w:sz w:val="24"/>
          <w:szCs w:val="24"/>
        </w:rPr>
        <w:tab/>
      </w:r>
      <w:r w:rsidRPr="008929A1">
        <w:rPr>
          <w:rFonts w:ascii="Arial" w:eastAsia="Calibri" w:hAnsi="Arial" w:cs="Arial"/>
          <w:color w:val="0070C0"/>
          <w:sz w:val="24"/>
          <w:szCs w:val="24"/>
        </w:rPr>
        <w:tab/>
      </w:r>
      <w:r w:rsidR="00C600DF">
        <w:rPr>
          <w:rFonts w:ascii="Arial" w:eastAsia="Calibri" w:hAnsi="Arial" w:cs="Arial"/>
          <w:color w:val="0070C0"/>
          <w:sz w:val="24"/>
          <w:szCs w:val="24"/>
        </w:rPr>
        <w:tab/>
        <w:t xml:space="preserve">    1.000,-</w:t>
      </w:r>
      <w:r w:rsidR="00C600DF">
        <w:rPr>
          <w:rFonts w:ascii="Arial" w:eastAsia="Calibri" w:hAnsi="Arial" w:cs="Arial"/>
          <w:color w:val="0070C0"/>
          <w:sz w:val="24"/>
          <w:szCs w:val="24"/>
        </w:rPr>
        <w:tab/>
      </w:r>
      <w:r w:rsidRPr="008929A1">
        <w:rPr>
          <w:rFonts w:ascii="Arial" w:eastAsia="Calibri" w:hAnsi="Arial" w:cs="Arial"/>
          <w:color w:val="0070C0"/>
          <w:sz w:val="24"/>
          <w:szCs w:val="24"/>
        </w:rPr>
        <w:tab/>
        <w:t>042/321</w:t>
      </w:r>
    </w:p>
    <w:p w:rsidR="008929A1" w:rsidRPr="008929A1" w:rsidRDefault="008929A1" w:rsidP="008929A1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 w:rsidRPr="008929A1">
        <w:rPr>
          <w:rFonts w:ascii="Arial" w:eastAsia="Calibri" w:hAnsi="Arial" w:cs="Arial"/>
          <w:color w:val="0070C0"/>
          <w:sz w:val="24"/>
          <w:szCs w:val="24"/>
        </w:rPr>
        <w:t>10.</w:t>
      </w:r>
      <w:r w:rsidR="005E182D">
        <w:rPr>
          <w:rFonts w:ascii="Arial" w:eastAsia="Calibri" w:hAnsi="Arial" w:cs="Arial"/>
          <w:color w:val="0070C0"/>
          <w:sz w:val="24"/>
          <w:szCs w:val="24"/>
        </w:rPr>
        <w:t xml:space="preserve"> </w:t>
      </w:r>
      <w:r w:rsidRPr="008929A1">
        <w:rPr>
          <w:rFonts w:ascii="Arial" w:eastAsia="Calibri" w:hAnsi="Arial" w:cs="Arial"/>
          <w:color w:val="0070C0"/>
          <w:sz w:val="24"/>
          <w:szCs w:val="24"/>
        </w:rPr>
        <w:t xml:space="preserve">Zařazení OA do majetku </w:t>
      </w:r>
      <w:r w:rsidRPr="008929A1">
        <w:rPr>
          <w:rFonts w:ascii="Arial" w:eastAsia="Calibri" w:hAnsi="Arial" w:cs="Arial"/>
          <w:color w:val="0070C0"/>
          <w:sz w:val="24"/>
          <w:szCs w:val="24"/>
        </w:rPr>
        <w:tab/>
      </w:r>
      <w:r w:rsidR="00C600DF">
        <w:rPr>
          <w:rFonts w:ascii="Arial" w:eastAsia="Calibri" w:hAnsi="Arial" w:cs="Arial"/>
          <w:color w:val="0070C0"/>
          <w:sz w:val="24"/>
          <w:szCs w:val="24"/>
        </w:rPr>
        <w:tab/>
      </w:r>
      <w:r w:rsidR="00C600DF">
        <w:rPr>
          <w:rFonts w:ascii="Arial" w:eastAsia="Calibri" w:hAnsi="Arial" w:cs="Arial"/>
          <w:color w:val="0070C0"/>
          <w:sz w:val="24"/>
          <w:szCs w:val="24"/>
        </w:rPr>
        <w:tab/>
      </w:r>
      <w:r w:rsidRPr="008929A1">
        <w:rPr>
          <w:rFonts w:ascii="Arial" w:eastAsia="Calibri" w:hAnsi="Arial" w:cs="Arial"/>
          <w:color w:val="0070C0"/>
          <w:sz w:val="24"/>
          <w:szCs w:val="24"/>
        </w:rPr>
        <w:tab/>
      </w:r>
      <w:r w:rsidR="00C600DF">
        <w:rPr>
          <w:rFonts w:ascii="Arial" w:eastAsia="Calibri" w:hAnsi="Arial" w:cs="Arial"/>
          <w:color w:val="0070C0"/>
          <w:sz w:val="24"/>
          <w:szCs w:val="24"/>
        </w:rPr>
        <w:t xml:space="preserve">    1.000,-</w:t>
      </w:r>
      <w:r w:rsidRPr="008929A1">
        <w:rPr>
          <w:rFonts w:ascii="Arial" w:eastAsia="Calibri" w:hAnsi="Arial" w:cs="Arial"/>
          <w:color w:val="0070C0"/>
          <w:sz w:val="24"/>
          <w:szCs w:val="24"/>
        </w:rPr>
        <w:tab/>
      </w:r>
      <w:r w:rsidRPr="008929A1">
        <w:rPr>
          <w:rFonts w:ascii="Arial" w:eastAsia="Calibri" w:hAnsi="Arial" w:cs="Arial"/>
          <w:color w:val="0070C0"/>
          <w:sz w:val="24"/>
          <w:szCs w:val="24"/>
        </w:rPr>
        <w:tab/>
        <w:t>022/042</w:t>
      </w:r>
    </w:p>
    <w:p w:rsidR="008929A1" w:rsidRPr="008929A1" w:rsidRDefault="008929A1" w:rsidP="008929A1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 w:rsidRPr="008929A1">
        <w:rPr>
          <w:rFonts w:ascii="Arial" w:eastAsia="Calibri" w:hAnsi="Arial" w:cs="Arial"/>
          <w:color w:val="0070C0"/>
          <w:sz w:val="24"/>
          <w:szCs w:val="24"/>
        </w:rPr>
        <w:t>11.</w:t>
      </w:r>
      <w:r w:rsidR="005E182D">
        <w:rPr>
          <w:rFonts w:ascii="Arial" w:eastAsia="Calibri" w:hAnsi="Arial" w:cs="Arial"/>
          <w:color w:val="0070C0"/>
          <w:sz w:val="24"/>
          <w:szCs w:val="24"/>
        </w:rPr>
        <w:t xml:space="preserve"> </w:t>
      </w:r>
      <w:bookmarkStart w:id="0" w:name="_GoBack"/>
      <w:bookmarkEnd w:id="0"/>
      <w:r w:rsidRPr="008929A1">
        <w:rPr>
          <w:rFonts w:ascii="Arial" w:eastAsia="Calibri" w:hAnsi="Arial" w:cs="Arial"/>
          <w:color w:val="0070C0"/>
          <w:sz w:val="24"/>
          <w:szCs w:val="24"/>
        </w:rPr>
        <w:t>Úhrada FD převodem</w:t>
      </w:r>
      <w:r w:rsidRPr="008929A1">
        <w:rPr>
          <w:rFonts w:ascii="Arial" w:eastAsia="Calibri" w:hAnsi="Arial" w:cs="Arial"/>
          <w:color w:val="0070C0"/>
          <w:sz w:val="24"/>
          <w:szCs w:val="24"/>
        </w:rPr>
        <w:tab/>
      </w:r>
      <w:r w:rsidR="00C600DF">
        <w:rPr>
          <w:rFonts w:ascii="Arial" w:eastAsia="Calibri" w:hAnsi="Arial" w:cs="Arial"/>
          <w:color w:val="0070C0"/>
          <w:sz w:val="24"/>
          <w:szCs w:val="24"/>
        </w:rPr>
        <w:tab/>
      </w:r>
      <w:r w:rsidR="00C600DF">
        <w:rPr>
          <w:rFonts w:ascii="Arial" w:eastAsia="Calibri" w:hAnsi="Arial" w:cs="Arial"/>
          <w:color w:val="0070C0"/>
          <w:sz w:val="24"/>
          <w:szCs w:val="24"/>
        </w:rPr>
        <w:tab/>
      </w:r>
      <w:r w:rsidR="00C600DF">
        <w:rPr>
          <w:rFonts w:ascii="Arial" w:eastAsia="Calibri" w:hAnsi="Arial" w:cs="Arial"/>
          <w:color w:val="0070C0"/>
          <w:sz w:val="24"/>
          <w:szCs w:val="24"/>
        </w:rPr>
        <w:tab/>
      </w:r>
      <w:r w:rsidR="00C600DF">
        <w:rPr>
          <w:rFonts w:ascii="Arial" w:eastAsia="Calibri" w:hAnsi="Arial" w:cs="Arial"/>
          <w:color w:val="0070C0"/>
          <w:sz w:val="24"/>
          <w:szCs w:val="24"/>
        </w:rPr>
        <w:tab/>
        <w:t xml:space="preserve">    1.000,-</w:t>
      </w:r>
      <w:r w:rsidRPr="008929A1">
        <w:rPr>
          <w:rFonts w:ascii="Arial" w:eastAsia="Calibri" w:hAnsi="Arial" w:cs="Arial"/>
          <w:color w:val="0070C0"/>
          <w:sz w:val="24"/>
          <w:szCs w:val="24"/>
        </w:rPr>
        <w:tab/>
      </w:r>
      <w:r w:rsidRPr="008929A1">
        <w:rPr>
          <w:rFonts w:ascii="Arial" w:eastAsia="Calibri" w:hAnsi="Arial" w:cs="Arial"/>
          <w:color w:val="0070C0"/>
          <w:sz w:val="24"/>
          <w:szCs w:val="24"/>
        </w:rPr>
        <w:tab/>
        <w:t>321/221</w:t>
      </w:r>
    </w:p>
    <w:p w:rsidR="008929A1" w:rsidRDefault="008929A1" w:rsidP="008929A1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 w:rsidRPr="008929A1">
        <w:rPr>
          <w:rFonts w:ascii="Arial" w:eastAsia="Calibri" w:hAnsi="Arial" w:cs="Arial"/>
          <w:color w:val="0070C0"/>
          <w:sz w:val="24"/>
          <w:szCs w:val="24"/>
        </w:rPr>
        <w:t xml:space="preserve">12. Vyřazení z podrozvahové evidence </w:t>
      </w:r>
      <w:r w:rsidRPr="008929A1">
        <w:rPr>
          <w:rFonts w:ascii="Arial" w:eastAsia="Calibri" w:hAnsi="Arial" w:cs="Arial"/>
          <w:color w:val="0070C0"/>
          <w:sz w:val="24"/>
          <w:szCs w:val="24"/>
        </w:rPr>
        <w:tab/>
      </w:r>
      <w:r w:rsidRPr="008929A1">
        <w:rPr>
          <w:rFonts w:ascii="Arial" w:eastAsia="Calibri" w:hAnsi="Arial" w:cs="Arial"/>
          <w:color w:val="0070C0"/>
          <w:sz w:val="24"/>
          <w:szCs w:val="24"/>
        </w:rPr>
        <w:tab/>
      </w:r>
      <w:r w:rsidRPr="008929A1">
        <w:rPr>
          <w:rFonts w:ascii="Arial" w:eastAsia="Calibri" w:hAnsi="Arial" w:cs="Arial"/>
          <w:color w:val="0070C0"/>
          <w:sz w:val="24"/>
          <w:szCs w:val="24"/>
        </w:rPr>
        <w:tab/>
      </w:r>
      <w:r w:rsidR="00C600DF">
        <w:rPr>
          <w:rFonts w:ascii="Arial" w:eastAsia="Calibri" w:hAnsi="Arial" w:cs="Arial"/>
          <w:color w:val="0070C0"/>
          <w:sz w:val="24"/>
          <w:szCs w:val="24"/>
        </w:rPr>
        <w:t>684.000,-</w:t>
      </w:r>
      <w:r w:rsidR="00C600DF">
        <w:rPr>
          <w:rFonts w:ascii="Arial" w:eastAsia="Calibri" w:hAnsi="Arial" w:cs="Arial"/>
          <w:color w:val="0070C0"/>
          <w:sz w:val="24"/>
          <w:szCs w:val="24"/>
        </w:rPr>
        <w:tab/>
      </w:r>
      <w:r w:rsidR="00C600DF">
        <w:rPr>
          <w:rFonts w:ascii="Arial" w:eastAsia="Calibri" w:hAnsi="Arial" w:cs="Arial"/>
          <w:color w:val="0070C0"/>
          <w:sz w:val="24"/>
          <w:szCs w:val="24"/>
        </w:rPr>
        <w:tab/>
      </w:r>
      <w:r w:rsidRPr="008929A1">
        <w:rPr>
          <w:rFonts w:ascii="Arial" w:eastAsia="Calibri" w:hAnsi="Arial" w:cs="Arial"/>
          <w:color w:val="0070C0"/>
          <w:sz w:val="24"/>
          <w:szCs w:val="24"/>
        </w:rPr>
        <w:t>---/750</w:t>
      </w:r>
    </w:p>
    <w:p w:rsidR="00C600DF" w:rsidRDefault="00C600DF" w:rsidP="008929A1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</w:p>
    <w:p w:rsidR="00C600DF" w:rsidRDefault="00C600DF" w:rsidP="008929A1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</w:p>
    <w:p w:rsidR="00C600DF" w:rsidRPr="008929A1" w:rsidRDefault="00C600DF" w:rsidP="008929A1">
      <w:pPr>
        <w:spacing w:after="0" w:line="360" w:lineRule="auto"/>
        <w:rPr>
          <w:rFonts w:ascii="Arial" w:eastAsia="Calibri" w:hAnsi="Arial" w:cs="Arial"/>
          <w:color w:val="0070C0"/>
          <w:sz w:val="24"/>
          <w:szCs w:val="24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665"/>
            <wp:effectExtent l="0" t="0" r="0" b="635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C600DF" w:rsidRPr="00C600DF" w:rsidTr="004A23E1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C600DF" w:rsidRPr="00C600DF" w:rsidTr="004A23E1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proofErr w:type="gramStart"/>
            <w:r w:rsidRPr="00C600D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  <w:t>Ú Č E T N Í 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C600DF" w:rsidRPr="00C600DF" w:rsidTr="004A23E1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C600DF" w:rsidRPr="00C600DF" w:rsidTr="004A23E1">
        <w:trPr>
          <w:trHeight w:val="379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DAL</w:t>
            </w:r>
          </w:p>
        </w:tc>
      </w:tr>
      <w:tr w:rsidR="00C600DF" w:rsidRPr="00C600DF" w:rsidTr="004A23E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C600DF" w:rsidRPr="00C600DF" w:rsidTr="004A23E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C600DF" w:rsidRPr="00C600DF" w:rsidTr="004A23E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C600DF" w:rsidRPr="00C600DF" w:rsidTr="004A23E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C600DF" w:rsidRPr="00C600DF" w:rsidTr="004A23E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C600DF" w:rsidRPr="00C600DF" w:rsidTr="004A23E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C600DF" w:rsidRPr="00C600DF" w:rsidTr="004A23E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C600DF" w:rsidRPr="00C600DF" w:rsidTr="004A23E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C600DF" w:rsidRPr="00C600DF" w:rsidTr="004A23E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C600DF" w:rsidRPr="00C600DF" w:rsidTr="004A23E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C600DF" w:rsidRPr="00C600DF" w:rsidTr="004A23E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C600DF" w:rsidRPr="00C600DF" w:rsidTr="004A23E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C600DF" w:rsidRPr="00C600DF" w:rsidTr="004A23E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C600DF" w:rsidRPr="00C600DF" w:rsidTr="004A23E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C600DF" w:rsidRPr="00C600DF" w:rsidTr="004A23E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C600DF" w:rsidRPr="00C600DF" w:rsidTr="004A23E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C600DF" w:rsidRPr="00C600DF" w:rsidTr="004A23E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C600DF" w:rsidRPr="00C600DF" w:rsidTr="004A23E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C600DF" w:rsidRPr="00C600DF" w:rsidTr="004A23E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C600DF" w:rsidRPr="00C600DF" w:rsidTr="004A23E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C600DF" w:rsidRPr="00C600DF" w:rsidTr="004A23E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C600DF" w:rsidRPr="00C600DF" w:rsidTr="004A23E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C600DF" w:rsidRPr="00C600DF" w:rsidTr="004A23E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C600DF" w:rsidRPr="00C600DF" w:rsidTr="004A23E1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0DF" w:rsidRPr="00C600DF" w:rsidRDefault="00C600DF" w:rsidP="00C600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8929A1" w:rsidRPr="008929A1" w:rsidRDefault="008929A1" w:rsidP="008929A1">
      <w:pPr>
        <w:spacing w:line="360" w:lineRule="auto"/>
        <w:rPr>
          <w:rFonts w:ascii="Arial" w:eastAsia="Calibri" w:hAnsi="Arial" w:cs="Arial"/>
          <w:color w:val="0070C0"/>
          <w:sz w:val="24"/>
          <w:szCs w:val="24"/>
        </w:rPr>
      </w:pPr>
    </w:p>
    <w:p w:rsidR="008929A1" w:rsidRDefault="00F0607E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3" name="Obrázek 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9A1" w:rsidRDefault="008929A1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780EBD" w:rsidRPr="0092029C" w:rsidRDefault="003B61CB" w:rsidP="00780EBD">
      <w:pPr>
        <w:rPr>
          <w:rFonts w:ascii="Tahoma" w:eastAsia="Times New Roman" w:hAnsi="Tahoma" w:cs="Tahoma"/>
          <w:b/>
          <w:color w:val="E36C0A" w:themeColor="accent6" w:themeShade="BF"/>
          <w:sz w:val="24"/>
          <w:szCs w:val="24"/>
          <w:lang w:eastAsia="cs-CZ"/>
        </w:rPr>
      </w:pPr>
      <w:r>
        <w:rPr>
          <w:rFonts w:ascii="Tahoma" w:eastAsia="Times New Roman" w:hAnsi="Tahoma" w:cs="Tahoma"/>
          <w:b/>
          <w:color w:val="E36C0A" w:themeColor="accent6" w:themeShade="BF"/>
          <w:sz w:val="24"/>
          <w:szCs w:val="24"/>
          <w:lang w:eastAsia="cs-CZ"/>
        </w:rPr>
        <w:t>Příklad k zaúčtování</w:t>
      </w:r>
      <w:r w:rsidR="00780EBD" w:rsidRPr="0092029C">
        <w:rPr>
          <w:rFonts w:ascii="Tahoma" w:eastAsia="Times New Roman" w:hAnsi="Tahoma" w:cs="Tahoma"/>
          <w:b/>
          <w:color w:val="E36C0A" w:themeColor="accent6" w:themeShade="BF"/>
          <w:sz w:val="24"/>
          <w:szCs w:val="24"/>
          <w:lang w:eastAsia="cs-CZ"/>
        </w:rPr>
        <w:t xml:space="preserve">  </w:t>
      </w:r>
    </w:p>
    <w:p w:rsidR="00780EBD" w:rsidRPr="0092029C" w:rsidRDefault="00780EBD" w:rsidP="00780EBD">
      <w:pPr>
        <w:pStyle w:val="Odstavecseseznamem"/>
        <w:numPr>
          <w:ilvl w:val="0"/>
          <w:numId w:val="1"/>
        </w:numPr>
        <w:spacing w:after="0" w:line="360" w:lineRule="auto"/>
        <w:ind w:right="-648"/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</w:pPr>
      <w:r w:rsidRPr="0092029C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>Nákup OA</w:t>
      </w:r>
    </w:p>
    <w:p w:rsidR="00780EBD" w:rsidRPr="0092029C" w:rsidRDefault="00780EBD" w:rsidP="00780EBD">
      <w:pPr>
        <w:pStyle w:val="Odstavecseseznamem"/>
        <w:numPr>
          <w:ilvl w:val="0"/>
          <w:numId w:val="1"/>
        </w:numPr>
        <w:spacing w:after="0" w:line="360" w:lineRule="auto"/>
        <w:ind w:right="-648"/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</w:pPr>
      <w:r w:rsidRPr="0092029C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 xml:space="preserve">první splátka (akontace, záloha) je 300.000,- </w:t>
      </w:r>
    </w:p>
    <w:p w:rsidR="00780EBD" w:rsidRPr="0092029C" w:rsidRDefault="00780EBD" w:rsidP="00780EBD">
      <w:pPr>
        <w:pStyle w:val="Odstavecseseznamem"/>
        <w:numPr>
          <w:ilvl w:val="0"/>
          <w:numId w:val="1"/>
        </w:numPr>
        <w:spacing w:after="0" w:line="360" w:lineRule="auto"/>
        <w:ind w:right="-648"/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</w:pPr>
      <w:r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>trvání leasingu 12/2011-11/2014</w:t>
      </w:r>
    </w:p>
    <w:p w:rsidR="00780EBD" w:rsidRPr="0092029C" w:rsidRDefault="00780EBD" w:rsidP="00780EBD">
      <w:pPr>
        <w:pStyle w:val="Odstavecseseznamem"/>
        <w:numPr>
          <w:ilvl w:val="0"/>
          <w:numId w:val="1"/>
        </w:numPr>
        <w:spacing w:after="0" w:line="360" w:lineRule="auto"/>
        <w:ind w:right="-648"/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</w:pPr>
      <w:r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>m</w:t>
      </w:r>
      <w:r w:rsidRPr="0092029C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 xml:space="preserve">ěsíční splátka je 8.333,33,-  </w:t>
      </w:r>
    </w:p>
    <w:p w:rsidR="00780EBD" w:rsidRPr="0092029C" w:rsidRDefault="00780EBD" w:rsidP="00780EBD">
      <w:pPr>
        <w:pStyle w:val="Odstavecseseznamem"/>
        <w:numPr>
          <w:ilvl w:val="0"/>
          <w:numId w:val="1"/>
        </w:numPr>
        <w:spacing w:after="0" w:line="360" w:lineRule="auto"/>
        <w:ind w:right="-648"/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</w:pPr>
      <w:r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>p</w:t>
      </w:r>
      <w:r w:rsidRPr="0092029C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>očet splátek je 36 měsíců, tj. 3 roky</w:t>
      </w:r>
    </w:p>
    <w:p w:rsidR="00780EBD" w:rsidRPr="006D310A" w:rsidRDefault="00780EBD" w:rsidP="00780EBD">
      <w:pPr>
        <w:spacing w:after="0" w:line="240" w:lineRule="auto"/>
        <w:ind w:right="-648"/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</w:pP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 xml:space="preserve"> </w:t>
      </w:r>
    </w:p>
    <w:p w:rsidR="00780EBD" w:rsidRPr="006D310A" w:rsidRDefault="00780EBD" w:rsidP="00780EBD">
      <w:pPr>
        <w:spacing w:after="0" w:line="480" w:lineRule="auto"/>
        <w:ind w:right="-648"/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</w:pP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 xml:space="preserve">0. Zařazení do podrozvahové evidence 600.000,-   </w:t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  <w:t xml:space="preserve">750/---       </w:t>
      </w:r>
    </w:p>
    <w:p w:rsidR="00780EBD" w:rsidRPr="006D310A" w:rsidRDefault="00780EBD" w:rsidP="00780EBD">
      <w:pPr>
        <w:spacing w:after="0" w:line="480" w:lineRule="auto"/>
        <w:ind w:right="-648"/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</w:pP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 xml:space="preserve">1. Předpis první zvýšené splátky 300.000,-   </w:t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  <w:t xml:space="preserve">    </w:t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  <w:t xml:space="preserve">  </w:t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  <w:t xml:space="preserve">381/379  </w:t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  <w:t xml:space="preserve">          </w:t>
      </w:r>
    </w:p>
    <w:p w:rsidR="00780EBD" w:rsidRPr="006D310A" w:rsidRDefault="00780EBD" w:rsidP="00780EBD">
      <w:pPr>
        <w:spacing w:after="0" w:line="480" w:lineRule="auto"/>
        <w:ind w:right="-648"/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</w:pP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>2. Úhrada první zvýšené splátky hotově 300.000,-</w:t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  <w:t>379/211</w:t>
      </w:r>
    </w:p>
    <w:p w:rsidR="00780EBD" w:rsidRPr="006D310A" w:rsidRDefault="00780EBD" w:rsidP="00780EBD">
      <w:pPr>
        <w:spacing w:after="0" w:line="480" w:lineRule="auto"/>
        <w:ind w:right="-648"/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</w:pP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>3. Předpis běžných splátek 8.333,33,-</w:t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  <w:t>518/379</w:t>
      </w:r>
    </w:p>
    <w:p w:rsidR="00780EBD" w:rsidRPr="006D310A" w:rsidRDefault="00780EBD" w:rsidP="00780EBD">
      <w:pPr>
        <w:spacing w:after="0" w:line="480" w:lineRule="auto"/>
        <w:ind w:right="-648"/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</w:pP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>4. Úhrada běžných splátek převodem 8.333,33,-</w:t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  <w:t>379/221</w:t>
      </w:r>
    </w:p>
    <w:p w:rsidR="00780EBD" w:rsidRPr="006D310A" w:rsidRDefault="00780EBD" w:rsidP="00780EBD">
      <w:pPr>
        <w:spacing w:after="0" w:line="480" w:lineRule="auto"/>
        <w:ind w:right="-648"/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</w:pP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>5. Poměrná část první zvýšené splátky za r. 2011      8.333,33,-</w:t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  <w:t>518/381</w:t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</w:r>
    </w:p>
    <w:p w:rsidR="00780EBD" w:rsidRPr="006D310A" w:rsidRDefault="00780EBD" w:rsidP="00780EBD">
      <w:pPr>
        <w:spacing w:after="0" w:line="480" w:lineRule="auto"/>
        <w:ind w:right="-648"/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</w:pP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>6. Poměrná část první zvýšené splátky za r. 2012    99.999,96,-</w:t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  <w:t>518/381</w:t>
      </w:r>
    </w:p>
    <w:p w:rsidR="00780EBD" w:rsidRPr="006D310A" w:rsidRDefault="00780EBD" w:rsidP="00780EBD">
      <w:pPr>
        <w:spacing w:after="0" w:line="480" w:lineRule="auto"/>
        <w:ind w:right="-648"/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</w:pP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>7. Poměrná část první zvýšené splátky za r. 2013    99.999,96,-</w:t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  <w:t>518/381</w:t>
      </w:r>
    </w:p>
    <w:p w:rsidR="00780EBD" w:rsidRPr="006D310A" w:rsidRDefault="00780EBD" w:rsidP="00780EBD">
      <w:pPr>
        <w:spacing w:after="0" w:line="480" w:lineRule="auto"/>
        <w:ind w:right="-648"/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</w:pP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>8. Poměrná část první zvýšené splátky za r. 2014    91.666,63,-</w:t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  <w:t>518/381</w:t>
      </w:r>
    </w:p>
    <w:p w:rsidR="00780EBD" w:rsidRPr="006D310A" w:rsidRDefault="00780EBD" w:rsidP="00780EBD">
      <w:pPr>
        <w:spacing w:after="0" w:line="480" w:lineRule="auto"/>
        <w:ind w:right="-648"/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</w:pP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>9. FD za nákup OA v zůstatkové ceně 1.000,-</w:t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  <w:t>042/321</w:t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</w:r>
    </w:p>
    <w:p w:rsidR="00780EBD" w:rsidRPr="006D310A" w:rsidRDefault="00780EBD" w:rsidP="00780EBD">
      <w:pPr>
        <w:spacing w:after="0" w:line="480" w:lineRule="auto"/>
        <w:ind w:right="-648"/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</w:pP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>10.</w:t>
      </w:r>
      <w:r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 xml:space="preserve"> </w:t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>Zařazení OA do majetku 1.000,-</w:t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  <w:t>022/042</w:t>
      </w:r>
    </w:p>
    <w:p w:rsidR="00780EBD" w:rsidRPr="006D310A" w:rsidRDefault="00780EBD" w:rsidP="00780EBD">
      <w:pPr>
        <w:spacing w:after="0" w:line="480" w:lineRule="auto"/>
        <w:ind w:right="-648"/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</w:pP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>11.</w:t>
      </w:r>
      <w:r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 xml:space="preserve"> </w:t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>Úhrada FD převodem 1.000,-</w:t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  <w:t>321/221</w:t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</w:r>
    </w:p>
    <w:p w:rsidR="00780EBD" w:rsidRPr="006D310A" w:rsidRDefault="00780EBD" w:rsidP="00780EBD">
      <w:pPr>
        <w:spacing w:after="0" w:line="480" w:lineRule="auto"/>
        <w:ind w:right="-648"/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</w:pP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 xml:space="preserve">12. Odpis v ceně pořízení 600.000,- </w:t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  <w:t>551/082</w:t>
      </w:r>
    </w:p>
    <w:p w:rsidR="00780EBD" w:rsidRPr="006D310A" w:rsidRDefault="00780EBD" w:rsidP="00780EBD">
      <w:pPr>
        <w:spacing w:after="0" w:line="480" w:lineRule="auto"/>
        <w:ind w:right="-648"/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</w:pP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>13. Vyřazení z podrozvahové evidence 600.000,-</w:t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</w:r>
      <w:r w:rsidRPr="006D310A">
        <w:rPr>
          <w:rFonts w:ascii="Tahoma" w:eastAsia="Times New Roman" w:hAnsi="Tahoma" w:cs="Tahoma"/>
          <w:color w:val="76923C" w:themeColor="accent3" w:themeShade="BF"/>
          <w:sz w:val="24"/>
          <w:szCs w:val="24"/>
          <w:lang w:eastAsia="cs-CZ"/>
        </w:rPr>
        <w:tab/>
        <w:t>---/750</w:t>
      </w:r>
    </w:p>
    <w:p w:rsidR="008929A1" w:rsidRDefault="00780EB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7C711878" wp14:editId="19C4BA3E">
            <wp:extent cx="5760720" cy="1256665"/>
            <wp:effectExtent l="0" t="0" r="0" b="0"/>
            <wp:docPr id="5" name="Obrázek 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780EBD" w:rsidRPr="00C600DF" w:rsidTr="00B66F6D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EBD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780EBD" w:rsidRPr="00C600DF" w:rsidTr="00B66F6D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proofErr w:type="gramStart"/>
            <w:r w:rsidRPr="00C600DF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  <w:t>Ú Č E T N Í 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780EBD" w:rsidRPr="00C600DF" w:rsidTr="00B66F6D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780EBD" w:rsidRPr="00C600DF" w:rsidTr="00B66F6D">
        <w:trPr>
          <w:trHeight w:val="379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DAL</w:t>
            </w:r>
          </w:p>
        </w:tc>
      </w:tr>
      <w:tr w:rsidR="00780EBD" w:rsidRPr="00C600DF" w:rsidTr="00B66F6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80EBD" w:rsidRPr="00C600DF" w:rsidTr="00B66F6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80EBD" w:rsidRPr="00C600DF" w:rsidTr="00B66F6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80EBD" w:rsidRPr="00C600DF" w:rsidTr="00B66F6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80EBD" w:rsidRPr="00C600DF" w:rsidTr="00B66F6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80EBD" w:rsidRPr="00C600DF" w:rsidTr="00B66F6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80EBD" w:rsidRPr="00C600DF" w:rsidTr="00B66F6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80EBD" w:rsidRPr="00C600DF" w:rsidTr="00B66F6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80EBD" w:rsidRPr="00C600DF" w:rsidTr="00B66F6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80EBD" w:rsidRPr="00C600DF" w:rsidTr="00B66F6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80EBD" w:rsidRPr="00C600DF" w:rsidTr="00B66F6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80EBD" w:rsidRPr="00C600DF" w:rsidTr="00B66F6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80EBD" w:rsidRPr="00C600DF" w:rsidTr="00B66F6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80EBD" w:rsidRPr="00C600DF" w:rsidTr="00B66F6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80EBD" w:rsidRPr="00C600DF" w:rsidTr="00B66F6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80EBD" w:rsidRPr="00C600DF" w:rsidTr="00B66F6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80EBD" w:rsidRPr="00C600DF" w:rsidTr="00B66F6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80EBD" w:rsidRPr="00C600DF" w:rsidTr="00B66F6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80EBD" w:rsidRPr="00C600DF" w:rsidTr="00B66F6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80EBD" w:rsidRPr="00C600DF" w:rsidTr="00B66F6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80EBD" w:rsidRPr="00C600DF" w:rsidTr="00B66F6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80EBD" w:rsidRPr="00C600DF" w:rsidTr="00B66F6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80EBD" w:rsidRPr="00C600DF" w:rsidTr="00B66F6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80EBD" w:rsidRPr="00C600DF" w:rsidTr="00B66F6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EBD" w:rsidRPr="00C600DF" w:rsidRDefault="00780EBD" w:rsidP="00B66F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C600DF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780EBD" w:rsidRDefault="00780EB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780EBD" w:rsidRDefault="00780EB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780EBD" w:rsidRDefault="00780EB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38D6201C" wp14:editId="099AB322">
            <wp:extent cx="5760720" cy="1256665"/>
            <wp:effectExtent l="0" t="0" r="0" b="0"/>
            <wp:docPr id="6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EBD" w:rsidRDefault="00780EB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780EBD" w:rsidRDefault="00780EB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F0607E" w:rsidRPr="00367A75" w:rsidRDefault="00F0607E" w:rsidP="00F0607E">
      <w:pPr>
        <w:rPr>
          <w:rFonts w:ascii="Arial" w:hAnsi="Arial" w:cs="Arial"/>
          <w:sz w:val="24"/>
          <w:szCs w:val="24"/>
        </w:rPr>
      </w:pPr>
      <w:r w:rsidRPr="00367A75">
        <w:rPr>
          <w:rFonts w:ascii="Arial" w:hAnsi="Arial" w:cs="Arial"/>
          <w:sz w:val="24"/>
          <w:szCs w:val="24"/>
        </w:rPr>
        <w:t>Použité zdroje:</w:t>
      </w:r>
    </w:p>
    <w:p w:rsidR="00F0607E" w:rsidRPr="00367A75" w:rsidRDefault="00F0607E" w:rsidP="00F0607E">
      <w:pPr>
        <w:rPr>
          <w:rFonts w:ascii="Arial" w:hAnsi="Arial" w:cs="Arial"/>
          <w:sz w:val="24"/>
          <w:szCs w:val="24"/>
        </w:rPr>
      </w:pPr>
    </w:p>
    <w:p w:rsidR="00F0607E" w:rsidRPr="00367A75" w:rsidRDefault="00F0607E" w:rsidP="00F0607E">
      <w:pPr>
        <w:rPr>
          <w:rFonts w:ascii="Arial" w:hAnsi="Arial" w:cs="Arial"/>
          <w:sz w:val="24"/>
          <w:szCs w:val="24"/>
        </w:rPr>
      </w:pPr>
      <w:r w:rsidRPr="00367A75">
        <w:rPr>
          <w:rFonts w:ascii="Arial" w:hAnsi="Arial" w:cs="Arial"/>
          <w:sz w:val="24"/>
          <w:szCs w:val="24"/>
        </w:rPr>
        <w:t>- Vlastní zdroje</w:t>
      </w:r>
    </w:p>
    <w:p w:rsidR="00F0607E" w:rsidRPr="00367A75" w:rsidRDefault="00F0607E" w:rsidP="00F0607E">
      <w:pPr>
        <w:rPr>
          <w:rFonts w:ascii="Arial" w:hAnsi="Arial" w:cs="Arial"/>
          <w:sz w:val="24"/>
          <w:szCs w:val="24"/>
        </w:rPr>
      </w:pPr>
      <w:r w:rsidRPr="00367A75">
        <w:rPr>
          <w:rFonts w:ascii="Arial" w:hAnsi="Arial" w:cs="Arial"/>
          <w:sz w:val="24"/>
          <w:szCs w:val="24"/>
        </w:rPr>
        <w:t xml:space="preserve">- Zákon č. 563/1992 Sb., o účetnictví </w:t>
      </w:r>
    </w:p>
    <w:p w:rsidR="00F0607E" w:rsidRPr="00367A75" w:rsidRDefault="00F0607E" w:rsidP="00F0607E">
      <w:pPr>
        <w:rPr>
          <w:rFonts w:ascii="Arial" w:hAnsi="Arial" w:cs="Arial"/>
          <w:sz w:val="24"/>
          <w:szCs w:val="24"/>
        </w:rPr>
      </w:pPr>
      <w:r w:rsidRPr="00367A75">
        <w:rPr>
          <w:rFonts w:ascii="Arial" w:hAnsi="Arial" w:cs="Arial"/>
          <w:sz w:val="24"/>
          <w:szCs w:val="24"/>
        </w:rPr>
        <w:t xml:space="preserve">- Zákon č. 586/1992 Sb., o daních z příjmu </w:t>
      </w:r>
    </w:p>
    <w:p w:rsidR="008929A1" w:rsidRDefault="008929A1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929A1" w:rsidRDefault="008929A1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929A1" w:rsidRDefault="008929A1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929A1" w:rsidRDefault="008929A1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929A1" w:rsidRDefault="008929A1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929A1" w:rsidRDefault="008929A1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sectPr w:rsidR="008929A1" w:rsidSect="001B37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23762B"/>
    <w:multiLevelType w:val="hybridMultilevel"/>
    <w:tmpl w:val="2C089A7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251B"/>
    <w:rsid w:val="0002251B"/>
    <w:rsid w:val="001B37A3"/>
    <w:rsid w:val="00342ADC"/>
    <w:rsid w:val="003750EA"/>
    <w:rsid w:val="003B61CB"/>
    <w:rsid w:val="00422AA3"/>
    <w:rsid w:val="004A0E66"/>
    <w:rsid w:val="004E4EB4"/>
    <w:rsid w:val="00540C63"/>
    <w:rsid w:val="005A2D4C"/>
    <w:rsid w:val="005E182D"/>
    <w:rsid w:val="00780EBD"/>
    <w:rsid w:val="008929A1"/>
    <w:rsid w:val="00897B93"/>
    <w:rsid w:val="009B06DE"/>
    <w:rsid w:val="00B3538A"/>
    <w:rsid w:val="00C600DF"/>
    <w:rsid w:val="00CB7EB7"/>
    <w:rsid w:val="00D76ECA"/>
    <w:rsid w:val="00EC3D5C"/>
    <w:rsid w:val="00F0607E"/>
    <w:rsid w:val="00FB61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B37A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80E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497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15</cp:revision>
  <dcterms:created xsi:type="dcterms:W3CDTF">2014-06-18T09:46:00Z</dcterms:created>
  <dcterms:modified xsi:type="dcterms:W3CDTF">2014-10-23T11:55:00Z</dcterms:modified>
</cp:coreProperties>
</file>